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jelo A"/>
        <w:rPr>
          <w:outline w:val="0"/>
          <w:color w:val="8eaadb"/>
          <w:u w:color="8eaadb"/>
          <w14:textFill>
            <w14:solidFill>
              <w14:srgbClr w14:val="8EAADB"/>
            </w14:solidFill>
          </w14:textFill>
        </w:rPr>
      </w:pPr>
    </w:p>
    <w:p>
      <w:pPr>
        <w:pStyle w:val="Tijelo A"/>
      </w:pPr>
    </w:p>
    <w:p>
      <w:pPr>
        <w:pStyle w:val="Tijelo A"/>
      </w:pPr>
    </w:p>
    <w:p>
      <w:pPr>
        <w:pStyle w:val="Tijelo A"/>
        <w:rPr>
          <w:sz w:val="48"/>
          <w:szCs w:val="48"/>
        </w:rPr>
      </w:pPr>
    </w:p>
    <w:p>
      <w:pPr>
        <w:pStyle w:val="Tijelo A"/>
        <w:jc w:val="center"/>
        <w:rPr>
          <w:outline w:val="0"/>
          <w:color w:val="1f3864"/>
          <w:sz w:val="48"/>
          <w:szCs w:val="48"/>
          <w:u w:color="1f3864"/>
          <w:shd w:val="clear" w:color="auto" w:fill="ffffff"/>
          <w14:textFill>
            <w14:solidFill>
              <w14:srgbClr w14:val="1F3864"/>
            </w14:solidFill>
          </w14:textFill>
        </w:rPr>
      </w:pPr>
      <w:r>
        <w:rPr>
          <w:outline w:val="0"/>
          <w:color w:val="1f3864"/>
          <w:sz w:val="48"/>
          <w:szCs w:val="48"/>
          <w:u w:color="1f3864"/>
          <w:shd w:val="clear" w:color="auto" w:fill="ffffff"/>
          <w:rtl w:val="0"/>
          <w:lang w:val="it-IT"/>
          <w14:textFill>
            <w14:solidFill>
              <w14:srgbClr w14:val="1F3864"/>
            </w14:solidFill>
          </w14:textFill>
        </w:rPr>
        <w:t>Elementi, metode, na</w:t>
      </w:r>
      <w:r>
        <w:rPr>
          <w:outline w:val="0"/>
          <w:color w:val="1f3864"/>
          <w:sz w:val="48"/>
          <w:szCs w:val="48"/>
          <w:u w:color="1f3864"/>
          <w:shd w:val="clear" w:color="auto" w:fill="ffffff"/>
          <w:rtl w:val="0"/>
          <w14:textFill>
            <w14:solidFill>
              <w14:srgbClr w14:val="1F3864"/>
            </w14:solidFill>
          </w14:textFill>
        </w:rPr>
        <w:t>č</w:t>
      </w:r>
      <w:r>
        <w:rPr>
          <w:outline w:val="0"/>
          <w:color w:val="1f3864"/>
          <w:sz w:val="48"/>
          <w:szCs w:val="48"/>
          <w:u w:color="1f3864"/>
          <w:shd w:val="clear" w:color="auto" w:fill="ffffff"/>
          <w:rtl w:val="0"/>
          <w14:textFill>
            <w14:solidFill>
              <w14:srgbClr w14:val="1F3864"/>
            </w14:solidFill>
          </w14:textFill>
        </w:rPr>
        <w:t>ini i postupci vrednovanja</w:t>
      </w:r>
      <w:r>
        <w:rPr>
          <w:outline w:val="0"/>
          <w:color w:val="1f3864"/>
          <w:sz w:val="48"/>
          <w:szCs w:val="48"/>
          <w:u w:color="1f3864"/>
          <w:shd w:val="clear" w:color="auto" w:fill="ffffff"/>
          <w14:textFill>
            <w14:solidFill>
              <w14:srgbClr w14:val="1F3864"/>
            </w14:solidFill>
          </w14:textFill>
        </w:rPr>
        <w:br w:type="textWrapping"/>
      </w:r>
      <w:r>
        <w:rPr>
          <w:outline w:val="0"/>
          <w:color w:val="1f3864"/>
          <w:sz w:val="48"/>
          <w:szCs w:val="48"/>
          <w:u w:color="1f3864"/>
          <w:shd w:val="clear" w:color="auto" w:fill="ffffff"/>
          <w:rtl w:val="0"/>
          <w14:textFill>
            <w14:solidFill>
              <w14:srgbClr w14:val="1F3864"/>
            </w14:solidFill>
          </w14:textFill>
        </w:rPr>
        <w:t>u nastavi likovne kulture</w:t>
      </w:r>
      <w:r>
        <w:rPr>
          <w:outline w:val="0"/>
          <w:color w:val="1f3864"/>
          <w:sz w:val="48"/>
          <w:szCs w:val="48"/>
          <w:u w:color="1f3864"/>
          <w:shd w:val="clear" w:color="auto" w:fill="ffffff"/>
          <w14:textFill>
            <w14:solidFill>
              <w14:srgbClr w14:val="1F3864"/>
            </w14:solidFill>
          </w14:textFill>
        </w:rPr>
        <w:br w:type="textWrapping"/>
      </w:r>
      <w:r>
        <w:rPr>
          <w:outline w:val="0"/>
          <w:color w:val="1f3864"/>
          <w:sz w:val="40"/>
          <w:szCs w:val="40"/>
          <w:u w:color="1f3864"/>
          <w:shd w:val="clear" w:color="auto" w:fill="ffffff"/>
          <w:rtl w:val="0"/>
          <w14:textFill>
            <w14:solidFill>
              <w14:srgbClr w14:val="1F3864"/>
            </w14:solidFill>
          </w14:textFill>
        </w:rPr>
        <w:t xml:space="preserve">(5. </w:t>
      </w:r>
      <w:r>
        <w:rPr>
          <w:outline w:val="0"/>
          <w:color w:val="1f3864"/>
          <w:sz w:val="40"/>
          <w:szCs w:val="40"/>
          <w:u w:color="1f3864"/>
          <w:shd w:val="clear" w:color="auto" w:fill="ffffff"/>
          <w:rtl w:val="0"/>
          <w14:textFill>
            <w14:solidFill>
              <w14:srgbClr w14:val="1F3864"/>
            </w14:solidFill>
          </w14:textFill>
        </w:rPr>
        <w:t xml:space="preserve">– </w:t>
      </w:r>
      <w:r>
        <w:rPr>
          <w:outline w:val="0"/>
          <w:color w:val="1f3864"/>
          <w:sz w:val="40"/>
          <w:szCs w:val="40"/>
          <w:u w:color="1f3864"/>
          <w:shd w:val="clear" w:color="auto" w:fill="ffffff"/>
          <w:rtl w:val="0"/>
          <w:lang w:val="de-DE"/>
          <w14:textFill>
            <w14:solidFill>
              <w14:srgbClr w14:val="1F3864"/>
            </w14:solidFill>
          </w14:textFill>
        </w:rPr>
        <w:t>8. RAZRED)</w:t>
      </w:r>
    </w:p>
    <w:p>
      <w:pPr>
        <w:pStyle w:val="Tijelo A"/>
        <w:jc w:val="center"/>
        <w:rPr>
          <w:outline w:val="0"/>
          <w:color w:val="2f5496"/>
          <w:sz w:val="28"/>
          <w:szCs w:val="28"/>
          <w:u w:color="2f5496"/>
          <w14:textFill>
            <w14:solidFill>
              <w14:srgbClr w14:val="2F5496"/>
            </w14:solidFill>
          </w14:textFill>
        </w:rPr>
      </w:pPr>
      <w:r>
        <w:rPr>
          <w:outline w:val="0"/>
          <w:color w:val="2f5496"/>
          <w:sz w:val="28"/>
          <w:szCs w:val="28"/>
          <w:u w:color="2f5496"/>
          <w:rtl w:val="0"/>
          <w14:textFill>
            <w14:solidFill>
              <w14:srgbClr w14:val="2F5496"/>
            </w14:solidFill>
          </w14:textFill>
        </w:rPr>
        <w:t>U</w:t>
      </w:r>
      <w:r>
        <w:rPr>
          <w:outline w:val="0"/>
          <w:color w:val="2f5496"/>
          <w:sz w:val="28"/>
          <w:szCs w:val="28"/>
          <w:u w:color="2f5496"/>
          <w:rtl w:val="0"/>
          <w14:textFill>
            <w14:solidFill>
              <w14:srgbClr w14:val="2F5496"/>
            </w14:solidFill>
          </w14:textFill>
        </w:rPr>
        <w:t>č</w:t>
      </w:r>
      <w:r>
        <w:rPr>
          <w:outline w:val="0"/>
          <w:color w:val="2f5496"/>
          <w:sz w:val="28"/>
          <w:szCs w:val="28"/>
          <w:u w:color="2f5496"/>
          <w:rtl w:val="0"/>
          <w14:textFill>
            <w14:solidFill>
              <w14:srgbClr w14:val="2F5496"/>
            </w14:solidFill>
          </w14:textFill>
        </w:rPr>
        <w:t>iteljica: Jelena Bogdani</w:t>
      </w:r>
      <w:r>
        <w:rPr>
          <w:outline w:val="0"/>
          <w:color w:val="2f5496"/>
          <w:sz w:val="28"/>
          <w:szCs w:val="28"/>
          <w:u w:color="2f5496"/>
          <w:rtl w:val="0"/>
          <w14:textFill>
            <w14:solidFill>
              <w14:srgbClr w14:val="2F5496"/>
            </w14:solidFill>
          </w14:textFill>
        </w:rPr>
        <w:t>ć</w:t>
      </w:r>
    </w:p>
    <w:p>
      <w:pPr>
        <w:pStyle w:val="Tijelo A"/>
        <w:rPr>
          <w:sz w:val="28"/>
          <w:szCs w:val="28"/>
        </w:rPr>
      </w:pPr>
    </w:p>
    <w:p>
      <w:pPr>
        <w:pStyle w:val="Tijelo A"/>
        <w:jc w:val="center"/>
        <w:rPr>
          <w:sz w:val="28"/>
          <w:szCs w:val="28"/>
        </w:rPr>
      </w:pPr>
    </w:p>
    <w:p>
      <w:pPr>
        <w:pStyle w:val="Tijelo A"/>
        <w:jc w:val="center"/>
        <w:rPr>
          <w:sz w:val="28"/>
          <w:szCs w:val="28"/>
        </w:rPr>
      </w:pPr>
    </w:p>
    <w:p>
      <w:pPr>
        <w:pStyle w:val="Tijelo A"/>
        <w:jc w:val="center"/>
        <w:rPr>
          <w:sz w:val="28"/>
          <w:szCs w:val="28"/>
        </w:rPr>
      </w:pPr>
    </w:p>
    <w:p>
      <w:pPr>
        <w:pStyle w:val="Tijelo A"/>
        <w:jc w:val="center"/>
        <w:rPr>
          <w:sz w:val="28"/>
          <w:szCs w:val="28"/>
        </w:rPr>
      </w:pPr>
    </w:p>
    <w:p>
      <w:pPr>
        <w:pStyle w:val="Tijelo A"/>
        <w:jc w:val="center"/>
        <w:rPr>
          <w:outline w:val="0"/>
          <w:color w:val="8eaadb"/>
          <w:sz w:val="28"/>
          <w:szCs w:val="28"/>
          <w:u w:color="8eaadb"/>
          <w14:textFill>
            <w14:solidFill>
              <w14:srgbClr w14:val="8EAADB"/>
            </w14:solidFill>
          </w14:textFill>
        </w:rPr>
      </w:pPr>
    </w:p>
    <w:p>
      <w:pPr>
        <w:pStyle w:val="Tijelo A"/>
        <w:jc w:val="center"/>
        <w:rPr>
          <w:outline w:val="0"/>
          <w:color w:val="8eaadb"/>
          <w:sz w:val="28"/>
          <w:szCs w:val="28"/>
          <w:u w:color="8eaadb"/>
          <w14:textFill>
            <w14:solidFill>
              <w14:srgbClr w14:val="8EAADB"/>
            </w14:solidFill>
          </w14:textFill>
        </w:rPr>
      </w:pPr>
      <w:r>
        <w:rPr>
          <w:outline w:val="0"/>
          <w:color w:val="8eaadb"/>
          <w:sz w:val="28"/>
          <w:szCs w:val="28"/>
          <w:u w:color="8eaadb"/>
          <w:rtl w:val="0"/>
          <w14:textFill>
            <w14:solidFill>
              <w14:srgbClr w14:val="8EAADB"/>
            </w14:solidFill>
          </w14:textFill>
        </w:rPr>
        <w:t>Š</w:t>
      </w:r>
      <w:r>
        <w:rPr>
          <w:outline w:val="0"/>
          <w:color w:val="8eaadb"/>
          <w:sz w:val="28"/>
          <w:szCs w:val="28"/>
          <w:u w:color="8eaadb"/>
          <w:rtl w:val="0"/>
          <w14:textFill>
            <w14:solidFill>
              <w14:srgbClr w14:val="8EAADB"/>
            </w14:solidFill>
          </w14:textFill>
        </w:rPr>
        <w:t>kolska godina 2022./23.</w:t>
      </w:r>
    </w:p>
    <w:tbl>
      <w:tblPr>
        <w:tblW w:w="1399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48"/>
        <w:gridCol w:w="1582"/>
        <w:gridCol w:w="1945"/>
        <w:gridCol w:w="1907"/>
        <w:gridCol w:w="1907"/>
        <w:gridCol w:w="1767"/>
        <w:gridCol w:w="1766"/>
        <w:gridCol w:w="1870"/>
      </w:tblGrid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1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jc w:val="center"/>
            </w:pP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:lang w:val="fr-FR"/>
                <w14:textFill>
                  <w14:solidFill>
                    <w14:srgbClr w14:val="222A35"/>
                  </w14:solidFill>
                </w14:textFill>
              </w:rPr>
              <w:t>Elementi</w:t>
            </w:r>
          </w:p>
        </w:tc>
        <w:tc>
          <w:tcPr>
            <w:tcW w:type="dxa" w:w="1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Na</w:t>
            </w: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:lang w:val="it-IT"/>
                <w14:textFill>
                  <w14:solidFill>
                    <w14:srgbClr w14:val="222A35"/>
                  </w14:solidFill>
                </w14:textFill>
              </w:rPr>
              <w:t>in pra</w:t>
            </w: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ć</w:t>
            </w: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enja</w:t>
            </w:r>
          </w:p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Prati se</w:t>
            </w:r>
          </w:p>
        </w:tc>
        <w:tc>
          <w:tcPr>
            <w:tcW w:type="dxa" w:w="1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Odli</w:t>
            </w: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an(5)</w:t>
            </w:r>
          </w:p>
        </w:tc>
        <w:tc>
          <w:tcPr>
            <w:tcW w:type="dxa" w:w="1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Vrlo dobar(4)</w:t>
            </w:r>
          </w:p>
        </w:tc>
        <w:tc>
          <w:tcPr>
            <w:tcW w:type="dxa" w:w="1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Dobar(3)</w:t>
            </w:r>
          </w:p>
        </w:tc>
        <w:tc>
          <w:tcPr>
            <w:tcW w:type="dxa" w:w="1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Dovoljan(2)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Nedovoljan(1)</w:t>
            </w:r>
          </w:p>
        </w:tc>
      </w:tr>
      <w:tr>
        <w:tblPrEx>
          <w:shd w:val="clear" w:color="auto" w:fill="cdd4e9"/>
        </w:tblPrEx>
        <w:trPr>
          <w:trHeight w:val="5946" w:hRule="atLeast"/>
        </w:trPr>
        <w:tc>
          <w:tcPr>
            <w:tcW w:type="dxa" w:w="1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Tijelo A"/>
              <w:spacing w:after="0" w:line="240" w:lineRule="auto"/>
              <w:ind w:left="113" w:right="113" w:firstLine="0"/>
              <w:jc w:val="center"/>
            </w:pP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STVARALA</w:t>
            </w: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:lang w:val="de-DE"/>
                <w14:textFill>
                  <w14:solidFill>
                    <w14:srgbClr w14:val="222A35"/>
                  </w14:solidFill>
                </w14:textFill>
              </w:rPr>
              <w:t>TVO</w:t>
            </w:r>
          </w:p>
        </w:tc>
        <w:tc>
          <w:tcPr>
            <w:tcW w:type="dxa" w:w="1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Diskusija, skice, bilje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ke (razrada procesa izvedbe); likovni ili vizualni rad</w:t>
            </w:r>
          </w:p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razvijanje i artikuliranje ideje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 -originalnost ideja (izbjegavanje 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ablonskih i stereotipnih prikaza) - sposobnost improvizacije (primjena razli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itih strategija i postupaka)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 - poznavanje i primjena etapa kreativnog procesa </w:t>
            </w:r>
          </w:p>
          <w:p>
            <w:pPr>
              <w:pStyle w:val="Tijelo A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refleksija i samorefleksija (promi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lja u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injeno i na temelju toga poduzima slijede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ć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 korake)</w:t>
            </w:r>
          </w:p>
          <w:p>
            <w:pPr>
              <w:pStyle w:val="Tijelo 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outline w:val="0"/>
                <w:color w:val="222a35"/>
                <w:sz w:val="20"/>
                <w:szCs w:val="20"/>
                <w:u w:color="222a35"/>
                <w:rtl w:val="0"/>
                <w14:textFill>
                  <w14:solidFill>
                    <w14:srgbClr w14:val="222A35"/>
                  </w14:solidFill>
                </w14:textFill>
              </w:rPr>
              <w:t>dovr</w:t>
            </w:r>
            <w:r>
              <w:rPr>
                <w:b w:val="1"/>
                <w:bCs w:val="1"/>
                <w:outline w:val="0"/>
                <w:color w:val="222a35"/>
                <w:sz w:val="20"/>
                <w:szCs w:val="20"/>
                <w:u w:color="222a35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b w:val="1"/>
                <w:bCs w:val="1"/>
                <w:outline w:val="0"/>
                <w:color w:val="222a35"/>
                <w:sz w:val="20"/>
                <w:szCs w:val="20"/>
                <w:u w:color="222a35"/>
                <w:rtl w:val="0"/>
                <w14:textFill>
                  <w14:solidFill>
                    <w14:srgbClr w14:val="222A35"/>
                  </w14:solidFill>
                </w14:textFill>
              </w:rPr>
              <w:t>enost likovnog rada</w:t>
            </w:r>
          </w:p>
          <w:p>
            <w:pPr>
              <w:pStyle w:val="Tijelo 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outline w:val="0"/>
                <w:color w:val="222a35"/>
                <w:sz w:val="20"/>
                <w:szCs w:val="20"/>
                <w:u w:color="222a35"/>
                <w:rtl w:val="0"/>
                <w14:textFill>
                  <w14:solidFill>
                    <w14:srgbClr w14:val="222A35"/>
                  </w14:solidFill>
                </w14:textFill>
              </w:rPr>
              <w:t>Stav prema radu</w:t>
            </w:r>
          </w:p>
        </w:tc>
        <w:tc>
          <w:tcPr>
            <w:tcW w:type="dxa" w:w="1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stvara originalne ideje i udaljene asocijacije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 - predla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ž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 ve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ć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i broj ostvarivih rje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enja na zadani problem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- ne koristi 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:lang w:val="it-IT"/>
                <w14:textFill>
                  <w14:solidFill>
                    <w14:srgbClr w14:val="222A35"/>
                  </w14:solidFill>
                </w14:textFill>
              </w:rPr>
              <w:t>ablone i stereotipe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 - improvizira u radu u svrhu pronala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ž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enja razli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itih puteva do rje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enja (koristi razli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ite strategije i postupke)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samostalno predvi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đ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a aktivnosti koje treba poduzeti da bi do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ao do rje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enja (samostalno organizira etape rada)</w:t>
            </w:r>
          </w:p>
        </w:tc>
        <w:tc>
          <w:tcPr>
            <w:tcW w:type="dxa" w:w="1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osmi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ljava ideje kao odmak od doslovnih asocijacija - ne koristi 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:lang w:val="it-IT"/>
                <w14:textFill>
                  <w14:solidFill>
                    <w14:srgbClr w14:val="222A35"/>
                  </w14:solidFill>
                </w14:textFill>
              </w:rPr>
              <w:t xml:space="preserve">ablone i stereotipe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prepoznaje dva ili vi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 na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ina dolaska do rje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enja (prepoznaje razli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ite strategije i postupke)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predvi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đ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a dio aktivnosti koje treba poduzeti da bi do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ao do rje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enja (uglavnom samostalno organizira etape rada)</w:t>
            </w:r>
          </w:p>
        </w:tc>
        <w:tc>
          <w:tcPr>
            <w:tcW w:type="dxa" w:w="1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stvara uobi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ajene ideje pomo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ć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u doslovnih asocijacija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- radi mali odmak od 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ablona i stereotipa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koristi manji broj strategija i postupaka pri rje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avanju zadatka - uz u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iteljevu pomo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ć 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prepoznaje aktivnosti koje treba poduzeti da bi do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ao do rje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enja</w:t>
            </w:r>
          </w:p>
        </w:tc>
        <w:tc>
          <w:tcPr>
            <w:tcW w:type="dxa" w:w="1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- stvara doslovne asocijacije bez jasne ideje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- koristi 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:lang w:val="it-IT"/>
                <w14:textFill>
                  <w14:solidFill>
                    <w14:srgbClr w14:val="222A35"/>
                  </w14:solidFill>
                </w14:textFill>
              </w:rPr>
              <w:t>ablone i stereotipe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 - uz u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iteljevu pomo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ć 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prolazi kroz aktivnosti koje treba poduzeti da bi do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ao do rje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enja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:lang w:val="de-DE"/>
                <w14:textFill>
                  <w14:solidFill>
                    <w14:srgbClr w14:val="222A35"/>
                  </w14:solidFill>
                </w14:textFill>
              </w:rPr>
              <w:t>- u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enik odbija suradnju, dijalog i pomo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ć 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te ometa i ne po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tuje druge u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enike u radu</w:t>
            </w:r>
          </w:p>
        </w:tc>
      </w:tr>
      <w:tr>
        <w:tblPrEx>
          <w:shd w:val="clear" w:color="auto" w:fill="cdd4e9"/>
        </w:tblPrEx>
        <w:trPr>
          <w:trHeight w:val="4916" w:hRule="atLeast"/>
        </w:trPr>
        <w:tc>
          <w:tcPr>
            <w:tcW w:type="dxa" w:w="1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Tijelo A"/>
              <w:spacing w:after="0" w:line="240" w:lineRule="auto"/>
              <w:ind w:left="113" w:right="113" w:firstLine="0"/>
              <w:jc w:val="center"/>
            </w:pP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:lang w:val="nl-NL"/>
                <w14:textFill>
                  <w14:solidFill>
                    <w14:srgbClr w14:val="222A35"/>
                  </w14:solidFill>
                </w14:textFill>
              </w:rPr>
              <w:t>PRODUKTIVNOST</w:t>
            </w:r>
          </w:p>
        </w:tc>
        <w:tc>
          <w:tcPr>
            <w:tcW w:type="dxa" w:w="1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Likovni ili vizualni rad</w:t>
            </w:r>
          </w:p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uporaba likovnog jezika, likovnih materijala, tehnika i/ili medija te sposobnost improvizacije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 - estetska osjetljivost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 - interpretacija teme - na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in prikaza motiva </w:t>
            </w:r>
          </w:p>
          <w:p>
            <w:pPr>
              <w:pStyle w:val="Tijelo A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b w:val="1"/>
                <w:bCs w:val="1"/>
                <w:sz w:val="20"/>
                <w:szCs w:val="20"/>
                <w:rtl w:val="0"/>
                <w:lang w:val="es-ES_tradnl"/>
              </w:rPr>
            </w:pPr>
            <w:r>
              <w:rPr>
                <w:b w:val="1"/>
                <w:bCs w:val="1"/>
                <w:outline w:val="0"/>
                <w:color w:val="222a35"/>
                <w:sz w:val="20"/>
                <w:szCs w:val="20"/>
                <w:u w:color="222a35"/>
                <w:rtl w:val="0"/>
                <w:lang w:val="es-ES_tradnl"/>
                <w14:textFill>
                  <w14:solidFill>
                    <w14:srgbClr w14:val="222A35"/>
                  </w14:solidFill>
                </w14:textFill>
              </w:rPr>
              <w:t>ulo</w:t>
            </w:r>
            <w:r>
              <w:rPr>
                <w:b w:val="1"/>
                <w:bCs w:val="1"/>
                <w:outline w:val="0"/>
                <w:color w:val="222a35"/>
                <w:sz w:val="20"/>
                <w:szCs w:val="20"/>
                <w:u w:color="222a35"/>
                <w:rtl w:val="0"/>
                <w14:textFill>
                  <w14:solidFill>
                    <w14:srgbClr w14:val="222A35"/>
                  </w14:solidFill>
                </w14:textFill>
              </w:rPr>
              <w:t>ž</w:t>
            </w:r>
            <w:r>
              <w:rPr>
                <w:b w:val="1"/>
                <w:bCs w:val="1"/>
                <w:outline w:val="0"/>
                <w:color w:val="222a35"/>
                <w:sz w:val="20"/>
                <w:szCs w:val="20"/>
                <w:u w:color="222a35"/>
                <w:rtl w:val="0"/>
                <w14:textFill>
                  <w14:solidFill>
                    <w14:srgbClr w14:val="222A35"/>
                  </w14:solidFill>
                </w14:textFill>
              </w:rPr>
              <w:t>eni trud, dovr</w:t>
            </w:r>
            <w:r>
              <w:rPr>
                <w:b w:val="1"/>
                <w:bCs w:val="1"/>
                <w:outline w:val="0"/>
                <w:color w:val="222a35"/>
                <w:sz w:val="20"/>
                <w:szCs w:val="20"/>
                <w:u w:color="222a35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b w:val="1"/>
                <w:bCs w:val="1"/>
                <w:outline w:val="0"/>
                <w:color w:val="222a35"/>
                <w:sz w:val="20"/>
                <w:szCs w:val="20"/>
                <w:u w:color="222a35"/>
                <w:rtl w:val="0"/>
                <w14:textFill>
                  <w14:solidFill>
                    <w14:srgbClr w14:val="222A35"/>
                  </w14:solidFill>
                </w14:textFill>
              </w:rPr>
              <w:t>enost radova</w:t>
            </w:r>
          </w:p>
          <w:p>
            <w:pPr>
              <w:pStyle w:val="Tijelo A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outline w:val="0"/>
                <w:color w:val="222a35"/>
                <w:sz w:val="20"/>
                <w:szCs w:val="20"/>
                <w:u w:color="222a35"/>
                <w:rtl w:val="0"/>
                <w14:textFill>
                  <w14:solidFill>
                    <w14:srgbClr w14:val="222A35"/>
                  </w14:solidFill>
                </w14:textFill>
              </w:rPr>
              <w:t>stav prema radu</w:t>
            </w:r>
          </w:p>
        </w:tc>
        <w:tc>
          <w:tcPr>
            <w:tcW w:type="dxa" w:w="1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originalno koristi razli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ite izra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ž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ajne mogu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ć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nosti likovnog jezika u prikazu motiva/interpretaciji teme/izra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ž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avanju ideje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- improvizira u primjeni tehnika i medija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:lang w:val="it-IT"/>
                <w14:textFill>
                  <w14:solidFill>
                    <w14:srgbClr w14:val="222A35"/>
                  </w14:solidFill>
                </w14:textFill>
              </w:rPr>
              <w:t>- dovr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ava radove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samostalan/na je u radu</w:t>
            </w:r>
          </w:p>
        </w:tc>
        <w:tc>
          <w:tcPr>
            <w:tcW w:type="dxa" w:w="1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koristi razli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ite izra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ž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ajne mogu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ć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nosti likovnog jezika u prikazu motiva/interpretaciji teme/izra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ž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avanju ideje - korektno primjenjuje tehnike i medije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:lang w:val="it-IT"/>
                <w14:textFill>
                  <w14:solidFill>
                    <w14:srgbClr w14:val="222A35"/>
                  </w14:solidFill>
                </w14:textFill>
              </w:rPr>
              <w:t>- dovr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ava radove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 - pokazuje intres i trud</w:t>
            </w:r>
          </w:p>
        </w:tc>
        <w:tc>
          <w:tcPr>
            <w:tcW w:type="dxa" w:w="1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koristi skromniji likovni rje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nik koji tek djelomi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no odgovara prikazanom motivu /izra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ž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enoj ideji/intepretiranoj temi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 - uglavnom korektno primjenjuje tehnike i medije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 - ostvaruje relativnu ili djelomi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nu dovr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enost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 - pokazuje pozitivan stav prema radu /ulo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ž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eni trud</w:t>
            </w:r>
          </w:p>
        </w:tc>
        <w:tc>
          <w:tcPr>
            <w:tcW w:type="dxa" w:w="1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koristi skroman likovni rje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nik koji ne odgovara prikazanom motivu/ izra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ž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enoj ideji/intepretiranoj temi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- upotrebljava tehnike i medije na osnovnoj razini primjene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:lang w:val="it-IT"/>
                <w14:textFill>
                  <w14:solidFill>
                    <w14:srgbClr w14:val="222A35"/>
                  </w14:solidFill>
                </w14:textFill>
              </w:rPr>
              <w:t>- ne dovr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ava radove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 - povremeno sudjeluje u radu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kontinuirano izbjegava rad / zanemaruje radne obaveze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 -ne donosi potreban pribor i materijale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likovni rje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nik je vrlo skroman i ne odgovara prikazanom motivu/ izra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ž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enoj ideji/intepretiranoj temi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u uporabi likovnih tehnika i medija evidentna je povr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outline w:val="0"/>
                <w:color w:val="222a35"/>
                <w:sz w:val="20"/>
                <w:szCs w:val="20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nost, rad i radna okolina su neuredni</w:t>
            </w:r>
          </w:p>
        </w:tc>
      </w:tr>
      <w:tr>
        <w:tblPrEx>
          <w:shd w:val="clear" w:color="auto" w:fill="cdd4e9"/>
        </w:tblPrEx>
        <w:trPr>
          <w:trHeight w:val="5691" w:hRule="atLeast"/>
        </w:trPr>
        <w:tc>
          <w:tcPr>
            <w:tcW w:type="dxa" w:w="1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Tijelo A"/>
              <w:spacing w:after="0" w:line="240" w:lineRule="auto"/>
              <w:ind w:left="113" w:right="113" w:firstLine="0"/>
              <w:jc w:val="center"/>
            </w:pP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KRITI</w:t>
            </w: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:lang w:val="pt-PT"/>
                <w14:textFill>
                  <w14:solidFill>
                    <w14:srgbClr w14:val="222A35"/>
                  </w14:solidFill>
                </w14:textFill>
              </w:rPr>
              <w:t>KO MI</w:t>
            </w: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LJENJE I</w:t>
            </w: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br w:type="textWrapping"/>
              <w:t xml:space="preserve"> </w:t>
            </w:r>
            <w:r>
              <w:rPr>
                <w:b w:val="1"/>
                <w:bCs w:val="1"/>
                <w:outline w:val="0"/>
                <w:color w:val="222a35"/>
                <w:sz w:val="28"/>
                <w:szCs w:val="28"/>
                <w:u w:color="222a35"/>
                <w:shd w:val="nil" w:color="auto" w:fill="auto"/>
                <w:rtl w:val="0"/>
                <w:lang w:val="de-DE"/>
                <w14:textFill>
                  <w14:solidFill>
                    <w14:srgbClr w14:val="222A35"/>
                  </w14:solidFill>
                </w14:textFill>
              </w:rPr>
              <w:t>KONTEKST</w:t>
            </w:r>
          </w:p>
        </w:tc>
        <w:tc>
          <w:tcPr>
            <w:tcW w:type="dxa" w:w="1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Diskusija, likovni ili vizualni rad</w:t>
            </w:r>
          </w:p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rPr>
                <w:outline w:val="0"/>
                <w:color w:val="222a35"/>
                <w:u w:color="222a35"/>
                <w:shd w:val="nil" w:color="auto" w:fill="auto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analiza i vrednovanje vlastitog likovnog ili vizualnog uratka te uradaka drugih u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enika (kriti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ki stav) </w:t>
            </w:r>
          </w:p>
          <w:p>
            <w:pPr>
              <w:pStyle w:val="Tijelo A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</w:rPr>
            </w:pP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stvaranje razli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itih poveznica izme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đ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u umjetni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kih djela, interpretirane teme, u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enikova likovnog ili vizualnog izraza</w:t>
            </w:r>
          </w:p>
          <w:p>
            <w:pPr>
              <w:pStyle w:val="Tijel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outline w:val="0"/>
                <w:color w:val="222a35"/>
                <w:u w:color="222a35"/>
                <w:rtl w:val="0"/>
                <w14:textFill>
                  <w14:solidFill>
                    <w14:srgbClr w14:val="222A35"/>
                  </w14:solidFill>
                </w14:textFill>
              </w:rPr>
              <w:t>dovr</w:t>
            </w:r>
            <w:r>
              <w:rPr>
                <w:b w:val="1"/>
                <w:bCs w:val="1"/>
                <w:outline w:val="0"/>
                <w:color w:val="222a35"/>
                <w:u w:color="222a35"/>
                <w:rtl w:val="0"/>
                <w14:textFill>
                  <w14:solidFill>
                    <w14:srgbClr w14:val="222A35"/>
                  </w14:solidFill>
                </w14:textFill>
              </w:rPr>
              <w:t>š</w:t>
            </w:r>
            <w:r>
              <w:rPr>
                <w:b w:val="1"/>
                <w:bCs w:val="1"/>
                <w:outline w:val="0"/>
                <w:color w:val="222a35"/>
                <w:u w:color="222a35"/>
                <w:rtl w:val="0"/>
                <w14:textFill>
                  <w14:solidFill>
                    <w14:srgbClr w14:val="222A35"/>
                  </w14:solidFill>
                </w14:textFill>
              </w:rPr>
              <w:t>enost likovnog rada</w:t>
            </w:r>
          </w:p>
          <w:p>
            <w:pPr>
              <w:pStyle w:val="Tijel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outline w:val="0"/>
                <w:color w:val="222a35"/>
                <w:u w:color="222a35"/>
                <w:rtl w:val="0"/>
                <w14:textFill>
                  <w14:solidFill>
                    <w14:srgbClr w14:val="222A35"/>
                  </w14:solidFill>
                </w14:textFill>
              </w:rPr>
              <w:t>stav prema radu</w:t>
            </w:r>
          </w:p>
        </w:tc>
        <w:tc>
          <w:tcPr>
            <w:tcW w:type="dxa" w:w="1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rPr>
                <w:outline w:val="0"/>
                <w:color w:val="222a35"/>
                <w:u w:color="222a35"/>
                <w:shd w:val="nil" w:color="auto" w:fill="auto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samostalno rekonstruira proces stvaranja u vlastitom i tu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đ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im radovima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samostalno analizira odnose ideje, forme, materijala i medija na vlastitom i tu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đ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im radovima, umjetni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kim djelima te primjerima iz vizualne kulture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stvara poveznice izme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đ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u umjetni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kog djela, vlastitog rada i konteksta</w:t>
            </w:r>
          </w:p>
        </w:tc>
        <w:tc>
          <w:tcPr>
            <w:tcW w:type="dxa" w:w="1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rPr>
                <w:outline w:val="0"/>
                <w:color w:val="222a35"/>
                <w:u w:color="222a35"/>
                <w:shd w:val="nil" w:color="auto" w:fill="auto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rekonstruira proces stvaranja u vlastitom i tu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đ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im radovima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analizira odnos ideje, forme, materijala i medija na vlastitom i tu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đ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im radovima, umjetni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kim djelima te primjerima iz vizualne kulture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povremeno stvara poveznice izme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đ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u umjetni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kog djela, vlastitog rada i konteksta</w:t>
            </w:r>
          </w:p>
        </w:tc>
        <w:tc>
          <w:tcPr>
            <w:tcW w:type="dxa" w:w="1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rPr>
                <w:outline w:val="0"/>
                <w:color w:val="222a35"/>
                <w:u w:color="222a35"/>
                <w:shd w:val="nil" w:color="auto" w:fill="auto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djelomi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no rekonstruira vlastiti i tu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đ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i stvarala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ki proces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prepoznaje odnos ideje, forme, materijala i medija na vlastitom i tu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đ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im radovima, umjetni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kim djelima te primjerima iz vizualne kulture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 - povremeno stvara jednostavne poveznice izme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đ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u umjetni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kog djela, vlastitog rada i konteksta</w:t>
            </w:r>
          </w:p>
        </w:tc>
        <w:tc>
          <w:tcPr>
            <w:tcW w:type="dxa" w:w="1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rPr>
                <w:outline w:val="0"/>
                <w:color w:val="222a35"/>
                <w:u w:color="222a35"/>
                <w:shd w:val="nil" w:color="auto" w:fill="auto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ne mo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ž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e rekonstruirati vlastiti i tu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đ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i stvarala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ki proces 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</w:pP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ne prepoznaje odnos ideje, forme, materijala i medija na vlastitom i tu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đ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im radovima, umjetni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kim djelima te primjerima iz vizualne kulture</w:t>
            </w:r>
          </w:p>
          <w:p>
            <w:pPr>
              <w:pStyle w:val="Tijel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 xml:space="preserve"> - ne stvara poveznice izme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đ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u umjetni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č</w:t>
            </w: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kog djela, vlastitog rada i konteksta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</w:pPr>
            <w:r>
              <w:rPr>
                <w:outline w:val="0"/>
                <w:color w:val="222a35"/>
                <w:u w:color="222a35"/>
                <w:shd w:val="nil" w:color="auto" w:fill="auto"/>
                <w:rtl w:val="0"/>
                <w14:textFill>
                  <w14:solidFill>
                    <w14:srgbClr w14:val="222A35"/>
                  </w14:solidFill>
                </w14:textFill>
              </w:rPr>
              <w:t>- ne pokazuje interes za sudjelovanje u analizi i vrednovanju likovnih/vizualnih uradaka</w:t>
            </w:r>
          </w:p>
        </w:tc>
      </w:tr>
    </w:tbl>
    <w:p>
      <w:pPr>
        <w:pStyle w:val="Tijelo A"/>
        <w:widowControl w:val="0"/>
        <w:spacing w:line="240" w:lineRule="auto"/>
        <w:ind w:left="108" w:hanging="108"/>
        <w:jc w:val="center"/>
        <w:rPr>
          <w:outline w:val="0"/>
          <w:color w:val="8eaadb"/>
          <w:sz w:val="28"/>
          <w:szCs w:val="28"/>
          <w:u w:color="8eaadb"/>
          <w14:textFill>
            <w14:solidFill>
              <w14:srgbClr w14:val="8EAADB"/>
            </w14:solidFill>
          </w14:textFill>
        </w:rPr>
      </w:pPr>
    </w:p>
    <w:p>
      <w:pPr>
        <w:pStyle w:val="Tijelo A"/>
        <w:widowControl w:val="0"/>
        <w:spacing w:line="240" w:lineRule="auto"/>
        <w:jc w:val="center"/>
      </w:pPr>
      <w:r>
        <w:rPr>
          <w:outline w:val="0"/>
          <w:color w:val="8eaadb"/>
          <w:sz w:val="28"/>
          <w:szCs w:val="28"/>
          <w:u w:color="8eaadb"/>
          <w14:textFill>
            <w14:solidFill>
              <w14:srgbClr w14:val="8EAADB"/>
            </w14:solidFill>
          </w14:textFill>
        </w:rPr>
      </w:r>
    </w:p>
    <w:sectPr>
      <w:headerReference w:type="default" r:id="rId4"/>
      <w:footerReference w:type="default" r:id="rId5"/>
      <w:pgSz w:w="16840" w:h="11900" w:orient="landscape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1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74" w:hanging="1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aglavlje i podnožje">
    <w:name w:val="Zaglavlje i podnožje"/>
    <w:next w:val="Zaglavlje i podnožj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jelo A">
    <w:name w:val="Tijelo A"/>
    <w:next w:val="Tij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