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6F5EC7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AE2BC7">
        <w:rPr>
          <w:rFonts w:cs="Arial"/>
          <w:lang w:val="nl-NL"/>
        </w:rPr>
        <w:t>/21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8B5078">
        <w:rPr>
          <w:rFonts w:cs="Arial"/>
          <w:lang w:val="nl-NL"/>
        </w:rPr>
        <w:t>/63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AE2BC7">
        <w:rPr>
          <w:rFonts w:cs="Arial"/>
          <w:lang w:val="nl-NL"/>
        </w:rPr>
        <w:t>/21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AE2BC7">
        <w:rPr>
          <w:rFonts w:cs="Arial"/>
          <w:lang w:val="nl-NL"/>
        </w:rPr>
        <w:t>17</w:t>
      </w:r>
      <w:r w:rsidR="006B5473">
        <w:rPr>
          <w:rFonts w:cs="Arial"/>
          <w:lang w:val="nl-NL"/>
        </w:rPr>
        <w:t>.</w:t>
      </w:r>
      <w:r w:rsidR="006F5EC7">
        <w:rPr>
          <w:rFonts w:cs="Arial"/>
          <w:lang w:val="nl-NL"/>
        </w:rPr>
        <w:t xml:space="preserve"> </w:t>
      </w:r>
      <w:r w:rsidR="00AE2BC7">
        <w:rPr>
          <w:rFonts w:cs="Arial"/>
          <w:lang w:val="nl-NL"/>
        </w:rPr>
        <w:t>svibanj 2021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8B5078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KNJIŽNIČAR/KA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  <w:r w:rsidR="008B5078">
        <w:rPr>
          <w:rFonts w:eastAsia="Times New Roman" w:cs="Arial"/>
          <w:bCs/>
          <w:color w:val="000000"/>
          <w:lang w:eastAsia="hr-HR"/>
        </w:rPr>
        <w:t>(40 satI</w:t>
      </w:r>
      <w:r w:rsidR="00685BFE">
        <w:rPr>
          <w:rFonts w:eastAsia="Times New Roman" w:cs="Arial"/>
          <w:bCs/>
          <w:color w:val="000000"/>
          <w:lang w:eastAsia="hr-HR"/>
        </w:rPr>
        <w:t xml:space="preserve"> tjedno)</w:t>
      </w:r>
    </w:p>
    <w:p w:rsidR="006F5EC7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>prema</w:t>
      </w:r>
      <w:r w:rsidR="00EF6762">
        <w:rPr>
          <w:rFonts w:eastAsia="Times New Roman" w:cs="Arial"/>
          <w:bCs/>
          <w:color w:val="000000"/>
          <w:lang w:eastAsia="hr-HR"/>
        </w:rPr>
        <w:t xml:space="preserve"> Zakonu</w:t>
      </w:r>
      <w:r w:rsidR="006F5EC7">
        <w:rPr>
          <w:rFonts w:eastAsia="Times New Roman" w:cs="Arial"/>
          <w:bCs/>
          <w:color w:val="000000"/>
          <w:lang w:eastAsia="hr-HR"/>
        </w:rPr>
        <w:t xml:space="preserve">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42469A">
        <w:t>članku 29</w:t>
      </w:r>
      <w:r w:rsidR="006F5EC7" w:rsidRPr="00656EF9">
        <w:t>.</w:t>
      </w:r>
      <w:r w:rsidR="0042469A">
        <w:t>, točki f)</w:t>
      </w:r>
      <w:r w:rsidR="006F5EC7" w:rsidRPr="00656EF9">
        <w:t xml:space="preserve">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42469A">
        <w:rPr>
          <w:rFonts w:eastAsia="Times New Roman" w:cs="Arial"/>
          <w:bCs/>
          <w:color w:val="000000"/>
          <w:lang w:eastAsia="hr-HR"/>
        </w:rPr>
        <w:t xml:space="preserve">): </w:t>
      </w:r>
    </w:p>
    <w:p w:rsidR="0042469A" w:rsidRPr="0042469A" w:rsidRDefault="0042469A" w:rsidP="0042469A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lang w:eastAsia="hr-HR"/>
        </w:rPr>
      </w:pPr>
      <w:r w:rsidRPr="0042469A">
        <w:rPr>
          <w:rFonts w:eastAsia="Times New Roman" w:cstheme="minorHAnsi"/>
          <w:color w:val="231F20"/>
          <w:lang w:eastAsia="hr-HR"/>
        </w:rPr>
        <w:t>f) Stručni suradnik KNJIŽNIČAR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2849"/>
        <w:gridCol w:w="4566"/>
      </w:tblGrid>
      <w:tr w:rsidR="0042469A" w:rsidRPr="0042469A" w:rsidTr="0042469A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42469A" w:rsidRPr="0042469A" w:rsidTr="004246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Informacijske znanosti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i/>
                <w:iCs/>
                <w:bdr w:val="none" w:sz="0" w:space="0" w:color="auto" w:frame="1"/>
                <w:lang w:eastAsia="hr-HR"/>
              </w:rPr>
              <w:t>smjer: Bibliotekarstvo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diplomski </w:t>
            </w:r>
            <w:r w:rsidRPr="0042469A">
              <w:rPr>
                <w:rFonts w:eastAsia="Times New Roman" w:cstheme="minorHAnsi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bibliotekarstva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knjižničarstva</w:t>
            </w:r>
          </w:p>
        </w:tc>
      </w:tr>
      <w:tr w:rsidR="0042469A" w:rsidRPr="0042469A" w:rsidTr="0042469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Informacijske znanosti – knjižničarstvo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diplomski </w:t>
            </w:r>
            <w:r w:rsidRPr="0042469A">
              <w:rPr>
                <w:rFonts w:eastAsia="Times New Roman" w:cstheme="minorHAnsi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informacijskih znanosti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informatologije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informatologije i informacijske tehnologije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knjižničarstva</w:t>
            </w:r>
          </w:p>
        </w:tc>
      </w:tr>
      <w:tr w:rsidR="0042469A" w:rsidRPr="0042469A" w:rsidTr="0042469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sveučilišni </w:t>
            </w:r>
            <w:r w:rsidRPr="0042469A">
              <w:rPr>
                <w:rFonts w:eastAsia="Times New Roman" w:cstheme="minorHAnsi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diplomirani bibliotekar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diplomirani knjižničar</w:t>
            </w:r>
          </w:p>
        </w:tc>
      </w:tr>
      <w:tr w:rsidR="0042469A" w:rsidRPr="0042469A" w:rsidTr="004246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Hrvatski jezik i književnost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i/>
                <w:iCs/>
                <w:bdr w:val="none" w:sz="0" w:space="0" w:color="auto" w:frame="1"/>
                <w:lang w:eastAsia="hr-HR"/>
              </w:rPr>
              <w:t>smjer: knjižničarski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diplomski </w:t>
            </w:r>
            <w:r w:rsidRPr="0042469A">
              <w:rPr>
                <w:rFonts w:eastAsia="Times New Roman" w:cstheme="minorHAnsi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edukacije hrvatskoga jezika i književnosti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kroatistike</w:t>
            </w:r>
          </w:p>
        </w:tc>
      </w:tr>
      <w:tr w:rsidR="0042469A" w:rsidRPr="0042469A" w:rsidTr="0042469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i/>
                <w:iCs/>
                <w:bdr w:val="none" w:sz="0" w:space="0" w:color="auto" w:frame="1"/>
                <w:lang w:eastAsia="hr-HR"/>
              </w:rPr>
              <w:t>Kulturologija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b/>
                <w:bCs/>
                <w:i/>
                <w:iCs/>
                <w:bdr w:val="none" w:sz="0" w:space="0" w:color="auto" w:frame="1"/>
                <w:lang w:eastAsia="hr-HR"/>
              </w:rPr>
              <w:t>smjer: Knjižničarstvo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diplomski </w:t>
            </w:r>
            <w:r w:rsidRPr="0042469A">
              <w:rPr>
                <w:rFonts w:eastAsia="Times New Roman" w:cstheme="minorHAnsi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kulturologije uz naznaku smjera</w:t>
            </w:r>
          </w:p>
        </w:tc>
      </w:tr>
      <w:tr w:rsidR="0042469A" w:rsidRPr="0042469A" w:rsidTr="0042469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diplomski </w:t>
            </w:r>
            <w:r w:rsidRPr="0042469A">
              <w:rPr>
                <w:rFonts w:eastAsia="Times New Roman" w:cstheme="minorHAnsi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bibliotekarstva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knjižničarstva</w:t>
            </w:r>
          </w:p>
          <w:p w:rsidR="0042469A" w:rsidRPr="0042469A" w:rsidRDefault="0042469A" w:rsidP="0042469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2469A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    magistar kulturologije – knjižničarstvo</w:t>
            </w:r>
          </w:p>
        </w:tc>
      </w:tr>
    </w:tbl>
    <w:p w:rsidR="0042469A" w:rsidRPr="001660FD" w:rsidRDefault="0042469A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</w:p>
    <w:p w:rsidR="00E767DF" w:rsidRDefault="00E767DF" w:rsidP="00182DA1">
      <w:pPr>
        <w:contextualSpacing/>
        <w:rPr>
          <w:rFonts w:eastAsia="Times New Roman" w:cs="Arial"/>
          <w:b/>
          <w:color w:val="000000"/>
          <w:u w:val="single"/>
          <w:lang w:eastAsia="hr-HR"/>
        </w:rPr>
      </w:pPr>
    </w:p>
    <w:p w:rsidR="00E767DF" w:rsidRDefault="00E767DF" w:rsidP="00182DA1">
      <w:pPr>
        <w:contextualSpacing/>
        <w:rPr>
          <w:rFonts w:eastAsia="Times New Roman" w:cs="Arial"/>
          <w:b/>
          <w:color w:val="000000"/>
          <w:u w:val="single"/>
          <w:lang w:eastAsia="hr-HR"/>
        </w:rPr>
      </w:pPr>
    </w:p>
    <w:p w:rsidR="00E767DF" w:rsidRDefault="00E767DF" w:rsidP="00182DA1">
      <w:pPr>
        <w:contextualSpacing/>
        <w:rPr>
          <w:rFonts w:eastAsia="Times New Roman" w:cs="Arial"/>
          <w:b/>
          <w:color w:val="000000"/>
          <w:u w:val="single"/>
          <w:lang w:eastAsia="hr-HR"/>
        </w:rPr>
      </w:pP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lastRenderedPageBreak/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90489E">
        <w:rPr>
          <w:rFonts w:eastAsia="Times New Roman" w:cs="Arial"/>
          <w:color w:val="000000"/>
          <w:lang w:eastAsia="hr-HR"/>
        </w:rPr>
        <w:t>nosno mobitela, e-mail adresu na koju će kandidatima biti dostavljena obavijest o datumu i vremenu procjene odnosno održavanju intervjua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</w:t>
      </w:r>
      <w:bookmarkStart w:id="0" w:name="_GoBack"/>
      <w:bookmarkEnd w:id="0"/>
      <w:r w:rsidRPr="0051716A">
        <w:rPr>
          <w:rFonts w:eastAsia="Times New Roman" w:cs="Arial"/>
          <w:b/>
          <w:color w:val="000000"/>
          <w:lang w:eastAsia="hr-HR"/>
        </w:rPr>
        <w:t xml:space="preserve">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čl.9. Zakona o profesionalnoj rehabilitaciji i zapošljavanju osoba sa inval</w:t>
      </w:r>
      <w:r w:rsidR="00375093">
        <w:rPr>
          <w:rFonts w:eastAsia="Times New Roman" w:cs="Arial"/>
          <w:color w:val="000000"/>
          <w:lang w:eastAsia="hr-HR"/>
        </w:rPr>
        <w:t>iditetom (NN157/13, 152/14, 39</w:t>
      </w:r>
      <w:r>
        <w:rPr>
          <w:rFonts w:eastAsia="Times New Roman" w:cs="Arial"/>
          <w:color w:val="000000"/>
          <w:lang w:eastAsia="hr-HR"/>
        </w:rPr>
        <w:t>/18</w:t>
      </w:r>
      <w:r w:rsidR="00375093">
        <w:rPr>
          <w:rFonts w:eastAsia="Times New Roman" w:cs="Arial"/>
          <w:color w:val="000000"/>
          <w:lang w:eastAsia="hr-HR"/>
        </w:rPr>
        <w:t xml:space="preserve"> i 32/20</w:t>
      </w:r>
      <w:r>
        <w:rPr>
          <w:rFonts w:eastAsia="Times New Roman" w:cs="Arial"/>
          <w:color w:val="000000"/>
          <w:lang w:eastAsia="hr-HR"/>
        </w:rPr>
        <w:t>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</w:t>
      </w:r>
      <w:r w:rsidR="00B04F5F">
        <w:rPr>
          <w:rFonts w:eastAsia="Times New Roman" w:cs="Arial"/>
          <w:color w:val="000000"/>
          <w:lang w:eastAsia="hr-HR"/>
        </w:rPr>
        <w:t xml:space="preserve"> 108/95, 108/96, 82/01, 103/03,</w:t>
      </w:r>
      <w:r>
        <w:rPr>
          <w:rFonts w:eastAsia="Times New Roman" w:cs="Arial"/>
          <w:color w:val="000000"/>
          <w:lang w:eastAsia="hr-HR"/>
        </w:rPr>
        <w:t xml:space="preserve"> 148/13</w:t>
      </w:r>
      <w:r w:rsidR="00B04F5F">
        <w:rPr>
          <w:rFonts w:eastAsia="Times New Roman" w:cs="Arial"/>
          <w:color w:val="000000"/>
          <w:lang w:eastAsia="hr-HR"/>
        </w:rPr>
        <w:t xml:space="preserve"> i 98/19</w:t>
      </w:r>
      <w:r>
        <w:rPr>
          <w:rFonts w:eastAsia="Times New Roman" w:cs="Arial"/>
          <w:color w:val="000000"/>
          <w:lang w:eastAsia="hr-HR"/>
        </w:rPr>
        <w:t>) dužni su u prijavi priložiti osim dokaza o ispunjavanju traženih uvjeta natječaja i potvrdu o statusu vojnog/civilnog invalida rata.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Pr="004D0C39">
        <w:rPr>
          <w:rFonts w:eastAsia="Times New Roman" w:cs="Arial"/>
          <w:color w:val="000000"/>
          <w:lang w:eastAsia="hr-HR"/>
        </w:rPr>
        <w:t>dana od dana objave natječaja.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5F7861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5F7861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9D" w:rsidRDefault="0060569D" w:rsidP="00962432">
      <w:pPr>
        <w:spacing w:after="0" w:line="240" w:lineRule="auto"/>
      </w:pPr>
      <w:r>
        <w:separator/>
      </w:r>
    </w:p>
  </w:endnote>
  <w:endnote w:type="continuationSeparator" w:id="0">
    <w:p w:rsidR="0060569D" w:rsidRDefault="0060569D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9D" w:rsidRDefault="0060569D" w:rsidP="00962432">
      <w:pPr>
        <w:spacing w:after="0" w:line="240" w:lineRule="auto"/>
      </w:pPr>
      <w:r>
        <w:separator/>
      </w:r>
    </w:p>
  </w:footnote>
  <w:footnote w:type="continuationSeparator" w:id="0">
    <w:p w:rsidR="0060569D" w:rsidRDefault="0060569D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E2D49"/>
    <w:rsid w:val="000F2D94"/>
    <w:rsid w:val="0010671D"/>
    <w:rsid w:val="00112974"/>
    <w:rsid w:val="001150A3"/>
    <w:rsid w:val="00133560"/>
    <w:rsid w:val="00141CD5"/>
    <w:rsid w:val="0014280E"/>
    <w:rsid w:val="00160CFE"/>
    <w:rsid w:val="001660FD"/>
    <w:rsid w:val="00182DA1"/>
    <w:rsid w:val="001C5306"/>
    <w:rsid w:val="001D7041"/>
    <w:rsid w:val="001F2881"/>
    <w:rsid w:val="001F4BCA"/>
    <w:rsid w:val="001F7552"/>
    <w:rsid w:val="00263325"/>
    <w:rsid w:val="002B326F"/>
    <w:rsid w:val="002D4834"/>
    <w:rsid w:val="002D780F"/>
    <w:rsid w:val="002F0960"/>
    <w:rsid w:val="00371014"/>
    <w:rsid w:val="00375093"/>
    <w:rsid w:val="003803D1"/>
    <w:rsid w:val="003A58C4"/>
    <w:rsid w:val="003A6E97"/>
    <w:rsid w:val="003C3BFC"/>
    <w:rsid w:val="003D10EE"/>
    <w:rsid w:val="0042294D"/>
    <w:rsid w:val="0042469A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5F7861"/>
    <w:rsid w:val="00603B38"/>
    <w:rsid w:val="0060569D"/>
    <w:rsid w:val="00621907"/>
    <w:rsid w:val="00627F31"/>
    <w:rsid w:val="00656EF9"/>
    <w:rsid w:val="00671DED"/>
    <w:rsid w:val="00680989"/>
    <w:rsid w:val="00685BFE"/>
    <w:rsid w:val="00694C78"/>
    <w:rsid w:val="006957BF"/>
    <w:rsid w:val="006B5473"/>
    <w:rsid w:val="006F5EC7"/>
    <w:rsid w:val="006F7921"/>
    <w:rsid w:val="00703763"/>
    <w:rsid w:val="00723406"/>
    <w:rsid w:val="0073363A"/>
    <w:rsid w:val="007831E3"/>
    <w:rsid w:val="00793DF7"/>
    <w:rsid w:val="007E05A4"/>
    <w:rsid w:val="00801A2C"/>
    <w:rsid w:val="00854181"/>
    <w:rsid w:val="008667D2"/>
    <w:rsid w:val="008A48E0"/>
    <w:rsid w:val="008B5078"/>
    <w:rsid w:val="008D4F72"/>
    <w:rsid w:val="008D59D9"/>
    <w:rsid w:val="0090489E"/>
    <w:rsid w:val="00917987"/>
    <w:rsid w:val="00962432"/>
    <w:rsid w:val="009C4E4D"/>
    <w:rsid w:val="009F7D98"/>
    <w:rsid w:val="00A676CA"/>
    <w:rsid w:val="00A67F2B"/>
    <w:rsid w:val="00A71D3F"/>
    <w:rsid w:val="00AC1D37"/>
    <w:rsid w:val="00AC6656"/>
    <w:rsid w:val="00AD0120"/>
    <w:rsid w:val="00AE2BC7"/>
    <w:rsid w:val="00B0224B"/>
    <w:rsid w:val="00B04F5F"/>
    <w:rsid w:val="00B103B9"/>
    <w:rsid w:val="00B37B57"/>
    <w:rsid w:val="00B57571"/>
    <w:rsid w:val="00BA5E2C"/>
    <w:rsid w:val="00C35B8B"/>
    <w:rsid w:val="00C72B16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50257"/>
    <w:rsid w:val="00E54EEF"/>
    <w:rsid w:val="00E60415"/>
    <w:rsid w:val="00E647CB"/>
    <w:rsid w:val="00E7045D"/>
    <w:rsid w:val="00E70FF9"/>
    <w:rsid w:val="00E767DF"/>
    <w:rsid w:val="00E77D75"/>
    <w:rsid w:val="00ED7626"/>
    <w:rsid w:val="00EE04E2"/>
    <w:rsid w:val="00EE2724"/>
    <w:rsid w:val="00EE75C2"/>
    <w:rsid w:val="00EF6762"/>
    <w:rsid w:val="00F23412"/>
    <w:rsid w:val="00F2389F"/>
    <w:rsid w:val="00F30D4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0907A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C88B-FCCF-499D-873D-ECB16783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21</cp:revision>
  <cp:lastPrinted>2019-02-25T09:25:00Z</cp:lastPrinted>
  <dcterms:created xsi:type="dcterms:W3CDTF">2020-10-26T10:30:00Z</dcterms:created>
  <dcterms:modified xsi:type="dcterms:W3CDTF">2021-05-17T07:33:00Z</dcterms:modified>
</cp:coreProperties>
</file>